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E7657" w14:textId="1C92ABE3" w:rsidR="004E168E" w:rsidRPr="004E168E" w:rsidRDefault="004E168E" w:rsidP="004E168E">
      <w:pPr>
        <w:pStyle w:val="Nagwek1"/>
        <w:ind w:left="7080"/>
        <w:jc w:val="center"/>
        <w:rPr>
          <w:rFonts w:ascii="Century Gothic" w:hAnsi="Century Gothic"/>
          <w:b/>
          <w:bCs/>
          <w:sz w:val="20"/>
        </w:rPr>
      </w:pPr>
      <w:r w:rsidRPr="004E168E">
        <w:rPr>
          <w:rFonts w:ascii="Century Gothic" w:hAnsi="Century Gothic"/>
          <w:b/>
          <w:bCs/>
          <w:sz w:val="20"/>
        </w:rPr>
        <w:t>Załącznik nr 3</w:t>
      </w:r>
    </w:p>
    <w:p w14:paraId="7D67C025" w14:textId="017FBFD1"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SK</w:t>
      </w:r>
      <w:bookmarkEnd w:id="0"/>
      <w:r w:rsidR="004E168E">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2E636A6F"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4E168E">
        <w:rPr>
          <w:rFonts w:ascii="Century Gothic" w:hAnsi="Century Gothic" w:cs="Arial"/>
        </w:rPr>
        <w:t xml:space="preserve">……… </w:t>
      </w:r>
      <w:r w:rsidRPr="009B55E4">
        <w:rPr>
          <w:rFonts w:ascii="Century Gothic" w:hAnsi="Century Gothic" w:cs="Arial"/>
        </w:rPr>
        <w:t xml:space="preserve">r.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070B69E" w:rsidR="0080396E" w:rsidRPr="00126E33" w:rsidRDefault="00BD0BFA" w:rsidP="0080396E">
      <w:pPr>
        <w:jc w:val="both"/>
        <w:rPr>
          <w:rFonts w:ascii="Century Gothic" w:hAnsi="Century Gothic" w:cs="Arial"/>
        </w:rPr>
      </w:pPr>
      <w:r w:rsidRPr="00126E33">
        <w:rPr>
          <w:rFonts w:ascii="Century Gothic" w:hAnsi="Century Gothic" w:cs="Arial"/>
        </w:rPr>
        <w:t>Lekarzem Pan</w:t>
      </w:r>
      <w:r w:rsidR="004E168E">
        <w:rPr>
          <w:rFonts w:ascii="Century Gothic" w:hAnsi="Century Gothic" w:cs="Arial"/>
        </w:rPr>
        <w:t>em/</w:t>
      </w:r>
      <w:proofErr w:type="spellStart"/>
      <w:r w:rsidR="001930AB">
        <w:rPr>
          <w:rFonts w:ascii="Century Gothic" w:hAnsi="Century Gothic" w:cs="Arial"/>
        </w:rPr>
        <w:t>ią</w:t>
      </w:r>
      <w:proofErr w:type="spellEnd"/>
      <w:r w:rsidR="004E168E">
        <w:rPr>
          <w:rFonts w:ascii="Century Gothic" w:hAnsi="Century Gothic" w:cs="Arial"/>
        </w:rPr>
        <w:t>………………………..</w:t>
      </w:r>
      <w:r w:rsidR="00857F38" w:rsidRPr="00857F38">
        <w:rPr>
          <w:rFonts w:ascii="Century Gothic" w:hAnsi="Century Gothic" w:cs="Arial"/>
        </w:rPr>
        <w:t>, prowadzą</w:t>
      </w:r>
      <w:r w:rsidR="004E168E">
        <w:rPr>
          <w:rFonts w:ascii="Century Gothic" w:hAnsi="Century Gothic" w:cs="Arial"/>
        </w:rPr>
        <w:t>cym/</w:t>
      </w:r>
      <w:proofErr w:type="spellStart"/>
      <w:r w:rsidR="00857F38" w:rsidRPr="00857F38">
        <w:rPr>
          <w:rFonts w:ascii="Century Gothic" w:hAnsi="Century Gothic" w:cs="Arial"/>
        </w:rPr>
        <w:t>c</w:t>
      </w:r>
      <w:r w:rsidR="001930AB">
        <w:rPr>
          <w:rFonts w:ascii="Century Gothic" w:hAnsi="Century Gothic" w:cs="Arial"/>
        </w:rPr>
        <w:t>ą</w:t>
      </w:r>
      <w:proofErr w:type="spellEnd"/>
      <w:r w:rsidR="00857F38" w:rsidRPr="00857F38">
        <w:rPr>
          <w:rFonts w:ascii="Century Gothic" w:hAnsi="Century Gothic" w:cs="Arial"/>
        </w:rPr>
        <w:t xml:space="preserve"> działalność gospodarczą pod nazwą:</w:t>
      </w:r>
      <w:r w:rsidR="004E168E">
        <w:rPr>
          <w:rFonts w:ascii="Century Gothic" w:hAnsi="Century Gothic" w:cs="Arial"/>
        </w:rPr>
        <w:t xml:space="preserve"> ……………………………..</w:t>
      </w:r>
      <w:r w:rsidR="00857F38" w:rsidRPr="00857F38">
        <w:rPr>
          <w:rFonts w:ascii="Century Gothic" w:hAnsi="Century Gothic" w:cs="Arial"/>
        </w:rPr>
        <w:t xml:space="preserve">, z siedzibą </w:t>
      </w:r>
      <w:r w:rsidR="004E168E">
        <w:rPr>
          <w:rFonts w:ascii="Century Gothic" w:hAnsi="Century Gothic" w:cs="Arial"/>
        </w:rPr>
        <w:t>………………………….</w:t>
      </w:r>
      <w:r w:rsidR="001930AB">
        <w:rPr>
          <w:rFonts w:ascii="Century Gothic" w:hAnsi="Century Gothic" w:cs="Arial"/>
        </w:rPr>
        <w:t xml:space="preserve">, </w:t>
      </w:r>
      <w:r w:rsidR="001930AB">
        <w:rPr>
          <w:rFonts w:ascii="Century Gothic" w:hAnsi="Century Gothic" w:cs="Arial"/>
        </w:rPr>
        <w:br/>
      </w:r>
      <w:r w:rsidR="00857F38" w:rsidRPr="00857F38">
        <w:rPr>
          <w:rFonts w:ascii="Century Gothic" w:hAnsi="Century Gothic" w:cs="Arial"/>
        </w:rPr>
        <w:t xml:space="preserve">REGON </w:t>
      </w:r>
      <w:r w:rsidR="004E168E">
        <w:rPr>
          <w:rFonts w:ascii="Century Gothic" w:hAnsi="Century Gothic" w:cs="Arial"/>
        </w:rPr>
        <w:t>…………..</w:t>
      </w:r>
      <w:r w:rsidR="00857F38" w:rsidRPr="00857F38">
        <w:rPr>
          <w:rFonts w:ascii="Century Gothic" w:hAnsi="Century Gothic" w:cs="Arial"/>
        </w:rPr>
        <w:t xml:space="preserve">, NIP </w:t>
      </w:r>
      <w:r w:rsidR="004E168E">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4E168E">
        <w:rPr>
          <w:rFonts w:ascii="Century Gothic" w:hAnsi="Century Gothic" w:cs="Arial"/>
        </w:rPr>
        <w:t>/ą</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B453120"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Przyjmujący Zamówienie został wybrany w wyniku konkursu ofert na udzielanie świadczeń zdrowotnych zgodnie z art. 26  ust. 4 ustawy z dnia 15.04.2011 roku o działalności leczniczej</w:t>
      </w:r>
      <w:r w:rsidR="0027460F">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0477EA7B"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3E096E">
        <w:rPr>
          <w:rFonts w:ascii="Century Gothic" w:eastAsia="Calibri" w:hAnsi="Century Gothic" w:cs="Calibri"/>
        </w:rPr>
        <w:t xml:space="preserve"> całodobowych</w:t>
      </w:r>
      <w:r w:rsidR="001930AB" w:rsidRPr="00B57F89">
        <w:rPr>
          <w:rFonts w:ascii="Century Gothic" w:eastAsia="Calibri" w:hAnsi="Century Gothic" w:cs="Calibri"/>
        </w:rPr>
        <w:t xml:space="preserve"> świadczeń zdrowotnych  </w:t>
      </w:r>
      <w:r w:rsidR="001930AB" w:rsidRPr="00B57F89">
        <w:rPr>
          <w:rFonts w:ascii="Century Gothic" w:hAnsi="Century Gothic"/>
          <w:bCs/>
          <w:iCs/>
        </w:rPr>
        <w:t>pacjentom Warmińsko-Mazurskiego Centrum Chorób Płuc w Olsztynie w Izbie Przyjęć w godzinach normalnej ordynacji i poza normalną ordynacją przez lekarza w Izbie Przyjęć</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7A3084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4E168E">
        <w:rPr>
          <w:rFonts w:ascii="Century Gothic" w:hAnsi="Century Gothic" w:cs="Arial"/>
          <w:b/>
          <w:bCs/>
        </w:rPr>
        <w:t xml:space="preserve">…………………… </w:t>
      </w:r>
      <w:r w:rsidR="001930AB" w:rsidRPr="00A9034C">
        <w:rPr>
          <w:rFonts w:ascii="Century Gothic" w:hAnsi="Century Gothic" w:cs="Arial"/>
          <w:b/>
          <w:bCs/>
        </w:rPr>
        <w:t>r.</w:t>
      </w:r>
      <w:r w:rsidR="002D7F9F" w:rsidRPr="00126E33">
        <w:rPr>
          <w:rFonts w:ascii="Century Gothic" w:hAnsi="Century Gothic" w:cs="Arial"/>
        </w:rPr>
        <w:t xml:space="preserve"> do </w:t>
      </w:r>
      <w:r w:rsidR="004E168E">
        <w:rPr>
          <w:rFonts w:ascii="Century Gothic" w:hAnsi="Century Gothic" w:cs="Arial"/>
          <w:b/>
          <w:bCs/>
        </w:rPr>
        <w:t xml:space="preserve">……………… </w:t>
      </w:r>
      <w:r w:rsidR="001930AB" w:rsidRPr="00A9034C">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w:t>
      </w:r>
      <w:proofErr w:type="spellStart"/>
      <w:r w:rsidR="001930AB">
        <w:rPr>
          <w:rFonts w:ascii="Century Gothic" w:hAnsi="Century Gothic" w:cs="Arial"/>
          <w:sz w:val="20"/>
        </w:rPr>
        <w:t>cę</w:t>
      </w:r>
      <w:proofErr w:type="spellEnd"/>
      <w:r w:rsidR="001930AB">
        <w:rPr>
          <w:rFonts w:ascii="Century Gothic" w:hAnsi="Century Gothic" w:cs="Arial"/>
          <w:sz w:val="20"/>
        </w:rPr>
        <w:t xml:space="preserve">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41352A2A"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4E168E">
        <w:rPr>
          <w:rFonts w:ascii="Century Gothic" w:hAnsi="Century Gothic" w:cs="Arial"/>
          <w:b/>
          <w:bCs/>
          <w:sz w:val="20"/>
        </w:rPr>
        <w:t>……..</w:t>
      </w:r>
      <w:r w:rsidR="005A57AD" w:rsidRPr="00380C47">
        <w:rPr>
          <w:rFonts w:ascii="Century Gothic" w:hAnsi="Century Gothic" w:cs="Arial"/>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7D8A5F9D" w14:textId="77777777" w:rsidR="004E168E" w:rsidRPr="00126E33" w:rsidRDefault="004E168E" w:rsidP="004E168E">
      <w:pPr>
        <w:pStyle w:val="Tekstpodstawowy"/>
        <w:jc w:val="center"/>
        <w:rPr>
          <w:rFonts w:ascii="Century Gothic" w:hAnsi="Century Gothic" w:cs="Arial"/>
          <w:sz w:val="20"/>
        </w:rPr>
      </w:pPr>
      <w:r w:rsidRPr="00126E33">
        <w:rPr>
          <w:rFonts w:ascii="Century Gothic" w:hAnsi="Century Gothic" w:cs="Arial"/>
          <w:sz w:val="20"/>
        </w:rPr>
        <w:t>§ 4</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6D594069"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kierowania pacjentów na leczenie w innych podmiotach leczniczych, jeżeli wymagać tego będzie stan zdrowia pacjenta, a potencjał diagnostyczny i leczniczy Zamawiającego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w:t>
      </w:r>
      <w:proofErr w:type="spellStart"/>
      <w:r w:rsidRPr="00A9034C">
        <w:rPr>
          <w:rFonts w:ascii="Century Gothic" w:hAnsi="Century Gothic"/>
        </w:rPr>
        <w:t>cę</w:t>
      </w:r>
      <w:proofErr w:type="spellEnd"/>
      <w:r w:rsidRPr="00A9034C">
        <w:rPr>
          <w:rFonts w:ascii="Century Gothic" w:hAnsi="Century Gothic"/>
        </w:rPr>
        <w:t xml:space="preserve">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w:t>
      </w:r>
      <w:proofErr w:type="spellStart"/>
      <w:r w:rsidR="001E572B">
        <w:rPr>
          <w:rFonts w:ascii="Century Gothic" w:hAnsi="Century Gothic" w:cs="Arial"/>
        </w:rPr>
        <w:t>cą</w:t>
      </w:r>
      <w:proofErr w:type="spellEnd"/>
      <w:r w:rsidR="001E572B">
        <w:rPr>
          <w:rFonts w:ascii="Century Gothic" w:hAnsi="Century Gothic" w:cs="Arial"/>
        </w:rPr>
        <w:t xml:space="preserve">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lastRenderedPageBreak/>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45BBABEF"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40C66A41" w14:textId="15BAC6BD" w:rsidR="003E096E" w:rsidRPr="003E096E" w:rsidRDefault="003E096E" w:rsidP="003E096E">
      <w:pPr>
        <w:ind w:left="705" w:hanging="345"/>
        <w:jc w:val="both"/>
        <w:rPr>
          <w:rFonts w:ascii="Century Gothic" w:hAnsi="Century Gothic" w:cs="Arial"/>
        </w:rPr>
      </w:pPr>
      <w:r>
        <w:rPr>
          <w:rFonts w:ascii="Century Gothic" w:hAnsi="Century Gothic" w:cs="Arial"/>
        </w:rPr>
        <w:t xml:space="preserve">16. </w:t>
      </w:r>
      <w:r w:rsidRPr="003E096E">
        <w:rPr>
          <w:rFonts w:ascii="Century Gothic" w:hAnsi="Century Gothic"/>
        </w:rPr>
        <w:t xml:space="preserve">Przyjmujący Zamówienie oświadcza, że zapoznał się z przedstawioną klauzulą informacyjną w związku z przetwarzaniem jego danych osobowych  w ramach niniejszej umowy. </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7377BA0" w14:textId="593824E5"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koordynatorem oddziału</w:t>
      </w:r>
      <w:r w:rsidR="00380C47">
        <w:rPr>
          <w:rFonts w:ascii="Century Gothic" w:hAnsi="Century Gothic" w:cs="Arial"/>
        </w:rPr>
        <w:t>/ z-</w:t>
      </w:r>
      <w:proofErr w:type="spellStart"/>
      <w:r w:rsidR="00380C47">
        <w:rPr>
          <w:rFonts w:ascii="Century Gothic" w:hAnsi="Century Gothic" w:cs="Arial"/>
        </w:rPr>
        <w:t>cą</w:t>
      </w:r>
      <w:proofErr w:type="spellEnd"/>
      <w:r w:rsidR="00380C47">
        <w:rPr>
          <w:rFonts w:ascii="Century Gothic" w:hAnsi="Century Gothic" w:cs="Arial"/>
        </w:rPr>
        <w:t xml:space="preserve"> dyrektora ds. medycznych</w:t>
      </w:r>
      <w:r w:rsidR="00CF2ACE">
        <w:rPr>
          <w:rFonts w:ascii="Century Gothic" w:hAnsi="Century Gothic" w:cs="Arial"/>
        </w:rPr>
        <w:t xml:space="preserve">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947B42">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38EF51B4" w14:textId="0F199F46" w:rsidR="00D67244" w:rsidRDefault="00D67244" w:rsidP="00D67244">
      <w:pPr>
        <w:pStyle w:val="Akapitzlist"/>
        <w:numPr>
          <w:ilvl w:val="0"/>
          <w:numId w:val="8"/>
        </w:numPr>
        <w:jc w:val="both"/>
        <w:rPr>
          <w:rFonts w:ascii="Century Gothic" w:hAnsi="Century Gothic" w:cs="Arial"/>
        </w:rPr>
      </w:pPr>
      <w:r w:rsidRPr="00800FCC">
        <w:rPr>
          <w:rFonts w:ascii="Century Gothic" w:hAnsi="Century Gothic" w:cs="Arial"/>
        </w:rPr>
        <w:t xml:space="preserve">Przyjmujący zamówienie zobowiązuje się do zachowania </w:t>
      </w:r>
      <w:r>
        <w:rPr>
          <w:rFonts w:ascii="Century Gothic" w:hAnsi="Century Gothic" w:cs="Arial"/>
        </w:rPr>
        <w:t xml:space="preserve">w </w:t>
      </w:r>
      <w:r w:rsidRPr="00800FCC">
        <w:rPr>
          <w:rFonts w:ascii="Century Gothic" w:hAnsi="Century Gothic" w:cs="Arial"/>
        </w:rPr>
        <w:t>tajemnicy wysokości wynagrodzenia wynikającego z niniejszej umowy.</w:t>
      </w:r>
    </w:p>
    <w:p w14:paraId="0041AB85" w14:textId="56154457" w:rsidR="00005296" w:rsidRPr="00D67244" w:rsidRDefault="00CA1A23" w:rsidP="00D67244">
      <w:pPr>
        <w:numPr>
          <w:ilvl w:val="0"/>
          <w:numId w:val="8"/>
        </w:numPr>
        <w:jc w:val="both"/>
        <w:rPr>
          <w:rFonts w:ascii="Century Gothic" w:hAnsi="Century Gothic" w:cs="Arial"/>
        </w:rPr>
      </w:pPr>
      <w:r w:rsidRPr="00D67244">
        <w:rPr>
          <w:rFonts w:ascii="Century Gothic" w:hAnsi="Century Gothic" w:cs="Arial"/>
        </w:rPr>
        <w:t xml:space="preserve">Przyjmujący Zamówienie jest zobowiązany do przestrzegania przepisów dotyczących ochrony danych osobowych powierzonych mu w związku z wykonywaniem umowy. </w:t>
      </w:r>
      <w:r w:rsidR="00E01812" w:rsidRPr="00D67244">
        <w:rPr>
          <w:rFonts w:ascii="Century Gothic" w:hAnsi="Century Gothic" w:cs="Arial"/>
        </w:rPr>
        <w:br/>
      </w:r>
      <w:r w:rsidRPr="00D67244">
        <w:rPr>
          <w:rFonts w:ascii="Century Gothic" w:hAnsi="Century Gothic" w:cs="Arial"/>
        </w:rPr>
        <w:t xml:space="preserve">W przypadku </w:t>
      </w:r>
      <w:r w:rsidR="0031756C" w:rsidRPr="00D67244">
        <w:rPr>
          <w:rFonts w:ascii="Century Gothic" w:hAnsi="Century Gothic" w:cs="Arial"/>
        </w:rPr>
        <w:t>ich naruszenia</w:t>
      </w:r>
      <w:r w:rsidR="007C5C8C" w:rsidRPr="00D67244">
        <w:rPr>
          <w:rFonts w:ascii="Century Gothic" w:hAnsi="Century Gothic" w:cs="Arial"/>
        </w:rPr>
        <w:t xml:space="preserve"> przez Przyjmującego Zamówienie</w:t>
      </w:r>
      <w:r w:rsidR="0031756C" w:rsidRPr="00D67244">
        <w:rPr>
          <w:rFonts w:ascii="Century Gothic" w:hAnsi="Century Gothic" w:cs="Arial"/>
        </w:rPr>
        <w:t xml:space="preserve">, </w:t>
      </w:r>
      <w:r w:rsidR="005C5DE6" w:rsidRPr="00D67244">
        <w:rPr>
          <w:rFonts w:ascii="Century Gothic" w:hAnsi="Century Gothic" w:cs="Arial"/>
        </w:rPr>
        <w:t>Udzielający zamówienie</w:t>
      </w:r>
      <w:r w:rsidR="007C5C8C" w:rsidRPr="00D67244">
        <w:rPr>
          <w:rFonts w:ascii="Century Gothic" w:hAnsi="Century Gothic" w:cs="Arial"/>
        </w:rPr>
        <w:t xml:space="preserve"> ma względem </w:t>
      </w:r>
      <w:r w:rsidR="0031756C" w:rsidRPr="00D67244">
        <w:rPr>
          <w:rFonts w:ascii="Century Gothic" w:hAnsi="Century Gothic" w:cs="Arial"/>
        </w:rPr>
        <w:t>Przyjmując</w:t>
      </w:r>
      <w:r w:rsidR="007C5C8C" w:rsidRPr="00D67244">
        <w:rPr>
          <w:rFonts w:ascii="Century Gothic" w:hAnsi="Century Gothic" w:cs="Arial"/>
        </w:rPr>
        <w:t>ego zamówienie roszczenie o naprawienie w pełnej wysokości</w:t>
      </w:r>
      <w:r w:rsidR="0031756C" w:rsidRPr="00D67244">
        <w:rPr>
          <w:rFonts w:ascii="Century Gothic" w:hAnsi="Century Gothic" w:cs="Arial"/>
        </w:rPr>
        <w:t xml:space="preserve"> </w:t>
      </w:r>
      <w:r w:rsidR="007C5C8C" w:rsidRPr="00D67244">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7101945F"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4E168E">
        <w:rPr>
          <w:rFonts w:ascii="Century Gothic" w:hAnsi="Century Gothic" w:cs="Arial"/>
          <w:b/>
          <w:bCs/>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45ED7D6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w:t>
      </w:r>
      <w:r w:rsidR="00BF7B0C">
        <w:rPr>
          <w:rFonts w:ascii="Century Gothic" w:hAnsi="Century Gothic"/>
          <w:sz w:val="20"/>
        </w:rPr>
        <w:t>1</w:t>
      </w:r>
      <w:r w:rsidR="00A30F24">
        <w:rPr>
          <w:rFonts w:ascii="Century Gothic" w:hAnsi="Century Gothic"/>
          <w:sz w:val="20"/>
        </w:rPr>
        <w:t>, §4 ust.</w:t>
      </w:r>
      <w:r w:rsidR="00BF7B0C">
        <w:rPr>
          <w:rFonts w:ascii="Century Gothic" w:hAnsi="Century Gothic"/>
          <w:sz w:val="20"/>
        </w:rPr>
        <w:t xml:space="preserve"> </w:t>
      </w:r>
      <w:r w:rsidR="00450BDE">
        <w:rPr>
          <w:rFonts w:ascii="Century Gothic" w:hAnsi="Century Gothic"/>
          <w:sz w:val="20"/>
        </w:rPr>
        <w:t>1</w:t>
      </w:r>
      <w:r w:rsidR="00BF7B0C">
        <w:rPr>
          <w:rFonts w:ascii="Century Gothic" w:hAnsi="Century Gothic"/>
          <w:sz w:val="20"/>
        </w:rPr>
        <w:t>2</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EF49AA5"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5996EAF7"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w:t>
      </w:r>
      <w:r w:rsidR="00D67244">
        <w:rPr>
          <w:rFonts w:ascii="Century Gothic" w:hAnsi="Century Gothic" w:cs="Arial"/>
        </w:rPr>
        <w:t>15.04.2011r.</w:t>
      </w:r>
      <w:r w:rsidRPr="00B17C05">
        <w:rPr>
          <w:rFonts w:ascii="Century Gothic" w:hAnsi="Century Gothic" w:cs="Arial"/>
        </w:rPr>
        <w:t xml:space="preserve"> o działalności leczniczej</w:t>
      </w:r>
      <w:r w:rsidR="00D67244">
        <w:rPr>
          <w:rFonts w:ascii="Century Gothic" w:hAnsi="Century Gothic" w:cs="Arial"/>
        </w:rPr>
        <w:t>,</w:t>
      </w:r>
      <w:r w:rsidRPr="00B17C05">
        <w:rPr>
          <w:rFonts w:ascii="Century Gothic" w:hAnsi="Century Gothic" w:cs="Arial"/>
        </w:rPr>
        <w:t xml:space="preserve"> ustawy z dnia 27.08.2004r. o świadczeniach opieki zdrowotnej finansowanych ze środków publicznych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41BE65B3" w14:textId="77777777" w:rsidR="003E096E" w:rsidRDefault="003E096E" w:rsidP="00704ACD">
      <w:pPr>
        <w:tabs>
          <w:tab w:val="center" w:pos="7014"/>
          <w:tab w:val="right" w:pos="9072"/>
        </w:tabs>
        <w:spacing w:after="100" w:afterAutospacing="1"/>
        <w:ind w:left="4248"/>
        <w:rPr>
          <w:rFonts w:ascii="Century Gothic" w:hAnsi="Century Gothic"/>
        </w:rPr>
      </w:pPr>
      <w:bookmarkStart w:id="6" w:name="_Hlk80341983"/>
    </w:p>
    <w:p w14:paraId="6761717B" w14:textId="77777777" w:rsidR="003E096E" w:rsidRDefault="003E096E" w:rsidP="00704ACD">
      <w:pPr>
        <w:tabs>
          <w:tab w:val="center" w:pos="7014"/>
          <w:tab w:val="right" w:pos="9072"/>
        </w:tabs>
        <w:spacing w:after="100" w:afterAutospacing="1"/>
        <w:ind w:left="4248"/>
        <w:rPr>
          <w:rFonts w:ascii="Century Gothic" w:hAnsi="Century Gothic"/>
        </w:rPr>
      </w:pPr>
    </w:p>
    <w:p w14:paraId="07F406A3" w14:textId="77777777" w:rsidR="003E096E" w:rsidRDefault="003E096E" w:rsidP="00704ACD">
      <w:pPr>
        <w:tabs>
          <w:tab w:val="center" w:pos="7014"/>
          <w:tab w:val="right" w:pos="9072"/>
        </w:tabs>
        <w:spacing w:after="100" w:afterAutospacing="1"/>
        <w:ind w:left="4248"/>
        <w:rPr>
          <w:rFonts w:ascii="Century Gothic" w:hAnsi="Century Gothic"/>
        </w:rPr>
      </w:pPr>
    </w:p>
    <w:p w14:paraId="5A53DA84" w14:textId="77777777" w:rsidR="003E096E" w:rsidRDefault="003E096E" w:rsidP="00704ACD">
      <w:pPr>
        <w:tabs>
          <w:tab w:val="center" w:pos="7014"/>
          <w:tab w:val="right" w:pos="9072"/>
        </w:tabs>
        <w:spacing w:after="100" w:afterAutospacing="1"/>
        <w:ind w:left="4248"/>
        <w:rPr>
          <w:rFonts w:ascii="Century Gothic" w:hAnsi="Century Gothic"/>
        </w:rPr>
      </w:pPr>
    </w:p>
    <w:p w14:paraId="24F5ECD8" w14:textId="37AF476C" w:rsidR="0029533C" w:rsidRPr="00126E33" w:rsidRDefault="0029533C" w:rsidP="00704ACD">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4E168E">
        <w:rPr>
          <w:rFonts w:ascii="Century Gothic" w:hAnsi="Century Gothic"/>
          <w:b/>
          <w:bCs/>
        </w:rPr>
        <w:t xml:space="preserve"> </w:t>
      </w:r>
      <w:r w:rsidR="00704ACD" w:rsidRPr="00126E33">
        <w:rPr>
          <w:rFonts w:ascii="Century Gothic" w:hAnsi="Century Gothic"/>
          <w:b/>
          <w:bCs/>
          <w:u w:val="single"/>
        </w:rPr>
        <w:t>SK</w:t>
      </w:r>
      <w:r w:rsidR="004E168E">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2578FF7A" w14:textId="21F11FD5"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4E168E">
        <w:rPr>
          <w:rFonts w:ascii="Century Gothic" w:hAnsi="Century Gothic"/>
          <w:b/>
          <w:bCs/>
        </w:rPr>
        <w:t xml:space="preserve"> </w:t>
      </w:r>
      <w:r w:rsidR="004E168E" w:rsidRPr="00126E33">
        <w:rPr>
          <w:rFonts w:ascii="Century Gothic" w:hAnsi="Century Gothic"/>
          <w:b/>
          <w:bCs/>
          <w:u w:val="single"/>
        </w:rPr>
        <w:t>SK</w:t>
      </w:r>
      <w:r w:rsidR="004E168E">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2D7E46DE" w14:textId="77777777" w:rsidR="00D67244" w:rsidRDefault="00D67244"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B011D22" w14:textId="74C78E12" w:rsidR="00634665" w:rsidRDefault="00634665" w:rsidP="00821C81">
      <w:pPr>
        <w:spacing w:after="100" w:afterAutospacing="1"/>
        <w:rPr>
          <w:rFonts w:ascii="Century Gothic" w:hAnsi="Century Gothic" w:cs="Calibri"/>
        </w:rPr>
      </w:pPr>
    </w:p>
    <w:p w14:paraId="3BA15651" w14:textId="77777777" w:rsidR="004B275E" w:rsidRDefault="004B275E" w:rsidP="000A3C44">
      <w:pPr>
        <w:tabs>
          <w:tab w:val="center" w:pos="7014"/>
          <w:tab w:val="right" w:pos="9072"/>
        </w:tabs>
        <w:spacing w:after="100" w:afterAutospacing="1"/>
        <w:ind w:left="4248"/>
        <w:rPr>
          <w:rFonts w:ascii="Century Gothic" w:hAnsi="Century Gothic"/>
        </w:rPr>
      </w:pPr>
    </w:p>
    <w:p w14:paraId="7DC07D41" w14:textId="67614554"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4E168E">
        <w:rPr>
          <w:rFonts w:ascii="Century Gothic" w:hAnsi="Century Gothic"/>
          <w:b/>
          <w:bCs/>
        </w:rPr>
        <w:t xml:space="preserve"> </w:t>
      </w:r>
      <w:r w:rsidR="004E168E" w:rsidRPr="00126E33">
        <w:rPr>
          <w:rFonts w:ascii="Century Gothic" w:hAnsi="Century Gothic"/>
          <w:b/>
          <w:bCs/>
          <w:u w:val="single"/>
        </w:rPr>
        <w:t>SK</w:t>
      </w:r>
      <w:r w:rsidR="004E168E">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3FEB7BE3"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4E168E">
        <w:rPr>
          <w:rFonts w:ascii="Century Gothic" w:hAnsi="Century Gothic" w:cs="Tahoma"/>
          <w:b/>
        </w:rPr>
        <w:t>……….</w:t>
      </w:r>
      <w:r>
        <w:rPr>
          <w:rFonts w:ascii="Century Gothic" w:hAnsi="Century Gothic" w:cs="Tahoma"/>
          <w:bCs/>
        </w:rPr>
        <w:t xml:space="preserve"> zł. brutto (słownie: </w:t>
      </w:r>
      <w:r w:rsidR="004E168E">
        <w:rPr>
          <w:rFonts w:ascii="Century Gothic" w:hAnsi="Century Gothic" w:cs="Tahoma"/>
          <w:bCs/>
        </w:rPr>
        <w:t>…………….</w:t>
      </w:r>
      <w:r>
        <w:rPr>
          <w:rFonts w:ascii="Century Gothic" w:hAnsi="Century Gothic" w:cs="Tahoma"/>
          <w:bCs/>
        </w:rPr>
        <w:t>).</w:t>
      </w:r>
    </w:p>
    <w:p w14:paraId="6E38A009" w14:textId="77777777" w:rsidR="004B275E" w:rsidRPr="00695CA4" w:rsidRDefault="004B275E" w:rsidP="004B275E">
      <w:pPr>
        <w:jc w:val="both"/>
        <w:rPr>
          <w:rFonts w:ascii="Century Gothic" w:hAnsi="Century Gothic"/>
        </w:rPr>
      </w:pPr>
    </w:p>
    <w:p w14:paraId="60B6661D" w14:textId="208E6BF5" w:rsidR="004B275E" w:rsidRPr="00695CA4" w:rsidRDefault="00D67244" w:rsidP="004B275E">
      <w:pPr>
        <w:ind w:left="284" w:hanging="284"/>
        <w:jc w:val="both"/>
        <w:rPr>
          <w:rFonts w:ascii="Century Gothic" w:hAnsi="Century Gothic"/>
        </w:rPr>
      </w:pPr>
      <w:r>
        <w:rPr>
          <w:rFonts w:ascii="Century Gothic" w:hAnsi="Century Gothic" w:cs="Tahoma"/>
        </w:rPr>
        <w:t>2</w:t>
      </w:r>
      <w:r w:rsidR="004B275E">
        <w:rPr>
          <w:rFonts w:ascii="Century Gothic" w:hAnsi="Century Gothic" w:cs="Tahoma"/>
        </w:rPr>
        <w:t xml:space="preserve">. </w:t>
      </w:r>
      <w:r w:rsidR="004B275E" w:rsidRPr="00695CA4">
        <w:rPr>
          <w:rFonts w:ascii="Century Gothic" w:hAnsi="Century Gothic" w:cs="Tahoma"/>
        </w:rPr>
        <w:t>W przypadku nie dostarczenia faktury w ustalonym terminie, należność za wykonane usługi będzie realizowana w następnym miesiącu rachunkowym.</w:t>
      </w:r>
    </w:p>
    <w:p w14:paraId="507850A2" w14:textId="22ED48B3" w:rsidR="004B275E" w:rsidRPr="00695CA4" w:rsidRDefault="00D67244" w:rsidP="004B275E">
      <w:pPr>
        <w:pStyle w:val="Akapitzlist"/>
        <w:suppressAutoHyphens/>
        <w:ind w:left="284" w:hanging="284"/>
        <w:jc w:val="both"/>
        <w:rPr>
          <w:rFonts w:ascii="Century Gothic" w:hAnsi="Century Gothic" w:cs="Tahoma"/>
        </w:rPr>
      </w:pPr>
      <w:r>
        <w:rPr>
          <w:rFonts w:ascii="Century Gothic" w:hAnsi="Century Gothic" w:cs="Tahoma"/>
          <w:bCs/>
        </w:rPr>
        <w:t>3</w:t>
      </w:r>
      <w:r w:rsidR="004B275E">
        <w:rPr>
          <w:rFonts w:ascii="Century Gothic" w:hAnsi="Century Gothic" w:cs="Tahoma"/>
          <w:bCs/>
        </w:rPr>
        <w:t>.</w:t>
      </w:r>
      <w:r>
        <w:rPr>
          <w:rFonts w:ascii="Century Gothic" w:hAnsi="Century Gothic" w:cs="Tahoma"/>
          <w:bCs/>
        </w:rPr>
        <w:t xml:space="preserve"> </w:t>
      </w:r>
      <w:r w:rsidR="004B275E"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CE5F5" w14:textId="77777777" w:rsidR="009A315A" w:rsidRDefault="009A315A">
      <w:r>
        <w:separator/>
      </w:r>
    </w:p>
  </w:endnote>
  <w:endnote w:type="continuationSeparator" w:id="0">
    <w:p w14:paraId="589A207B" w14:textId="77777777" w:rsidR="009A315A" w:rsidRDefault="009A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E168E">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F3440" w14:textId="77777777" w:rsidR="009A315A" w:rsidRDefault="009A315A">
      <w:r>
        <w:separator/>
      </w:r>
    </w:p>
  </w:footnote>
  <w:footnote w:type="continuationSeparator" w:id="0">
    <w:p w14:paraId="7BC3DB49" w14:textId="77777777" w:rsidR="009A315A" w:rsidRDefault="009A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B459E1"/>
    <w:multiLevelType w:val="hybridMultilevel"/>
    <w:tmpl w:val="9BF463C2"/>
    <w:lvl w:ilvl="0" w:tplc="6F3CF07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865605468">
    <w:abstractNumId w:val="8"/>
  </w:num>
  <w:num w:numId="2" w16cid:durableId="927807544">
    <w:abstractNumId w:val="2"/>
  </w:num>
  <w:num w:numId="3" w16cid:durableId="2122340651">
    <w:abstractNumId w:val="23"/>
  </w:num>
  <w:num w:numId="4" w16cid:durableId="39401095">
    <w:abstractNumId w:val="17"/>
  </w:num>
  <w:num w:numId="5" w16cid:durableId="336662406">
    <w:abstractNumId w:val="21"/>
  </w:num>
  <w:num w:numId="6" w16cid:durableId="366420238">
    <w:abstractNumId w:val="10"/>
  </w:num>
  <w:num w:numId="7" w16cid:durableId="1796676026">
    <w:abstractNumId w:val="22"/>
  </w:num>
  <w:num w:numId="8" w16cid:durableId="1216313525">
    <w:abstractNumId w:val="11"/>
  </w:num>
  <w:num w:numId="9" w16cid:durableId="1701003884">
    <w:abstractNumId w:val="9"/>
  </w:num>
  <w:num w:numId="10" w16cid:durableId="1737970018">
    <w:abstractNumId w:val="20"/>
  </w:num>
  <w:num w:numId="11" w16cid:durableId="50422443">
    <w:abstractNumId w:val="24"/>
  </w:num>
  <w:num w:numId="12" w16cid:durableId="1783845051">
    <w:abstractNumId w:val="5"/>
  </w:num>
  <w:num w:numId="13" w16cid:durableId="18505753">
    <w:abstractNumId w:val="12"/>
  </w:num>
  <w:num w:numId="14" w16cid:durableId="1103569841">
    <w:abstractNumId w:val="14"/>
  </w:num>
  <w:num w:numId="15" w16cid:durableId="515122133">
    <w:abstractNumId w:val="19"/>
  </w:num>
  <w:num w:numId="16" w16cid:durableId="1729648830">
    <w:abstractNumId w:val="18"/>
  </w:num>
  <w:num w:numId="17" w16cid:durableId="1888831259">
    <w:abstractNumId w:val="13"/>
  </w:num>
  <w:num w:numId="18" w16cid:durableId="952397280">
    <w:abstractNumId w:val="7"/>
  </w:num>
  <w:num w:numId="19" w16cid:durableId="1751804110">
    <w:abstractNumId w:val="3"/>
  </w:num>
  <w:num w:numId="20" w16cid:durableId="1376614319">
    <w:abstractNumId w:val="16"/>
  </w:num>
  <w:num w:numId="21" w16cid:durableId="514467513">
    <w:abstractNumId w:val="15"/>
  </w:num>
  <w:num w:numId="22" w16cid:durableId="130412056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460F"/>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096E"/>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168E"/>
    <w:rsid w:val="004E74B3"/>
    <w:rsid w:val="004E7778"/>
    <w:rsid w:val="004F0710"/>
    <w:rsid w:val="004F3FB1"/>
    <w:rsid w:val="00501985"/>
    <w:rsid w:val="00507BE8"/>
    <w:rsid w:val="00510E9A"/>
    <w:rsid w:val="00514DB6"/>
    <w:rsid w:val="00517D5A"/>
    <w:rsid w:val="005205D4"/>
    <w:rsid w:val="00525EB7"/>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15A"/>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3539"/>
    <w:rsid w:val="00BB6A84"/>
    <w:rsid w:val="00BC029A"/>
    <w:rsid w:val="00BC48E7"/>
    <w:rsid w:val="00BC49E3"/>
    <w:rsid w:val="00BD0BF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37716"/>
    <w:rsid w:val="00D37E8F"/>
    <w:rsid w:val="00D46D23"/>
    <w:rsid w:val="00D503D8"/>
    <w:rsid w:val="00D53BED"/>
    <w:rsid w:val="00D60721"/>
    <w:rsid w:val="00D63D3C"/>
    <w:rsid w:val="00D64422"/>
    <w:rsid w:val="00D67244"/>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4890"/>
    <w:rsid w:val="00FB7BAB"/>
    <w:rsid w:val="00FB7C46"/>
    <w:rsid w:val="00FC5C54"/>
    <w:rsid w:val="00FC73A5"/>
    <w:rsid w:val="00FD0F89"/>
    <w:rsid w:val="00FD3C88"/>
    <w:rsid w:val="00FD5E72"/>
    <w:rsid w:val="00FE3869"/>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920D3715-7B04-4B23-82A1-8B77E7A0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094A-E8CB-4C7E-86A0-6F898E2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4271</Words>
  <Characters>25628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2024-10-07T06:33:00Z</cp:lastPrinted>
  <dcterms:created xsi:type="dcterms:W3CDTF">2024-10-01T12:38:00Z</dcterms:created>
  <dcterms:modified xsi:type="dcterms:W3CDTF">2024-10-07T06:38:00Z</dcterms:modified>
</cp:coreProperties>
</file>